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王宏宇职称评审条件情况一览表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3804"/>
        <w:gridCol w:w="3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0" w:hRule="atLeast"/>
        </w:trPr>
        <w:tc>
          <w:tcPr>
            <w:tcW w:w="534" w:type="pc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bookmarkStart w:id="0" w:name="_GoBack" w:colFirst="1" w:colLast="2"/>
          </w:p>
        </w:tc>
        <w:tc>
          <w:tcPr>
            <w:tcW w:w="2232" w:type="pct"/>
          </w:tcPr>
          <w:p>
            <w:pPr>
              <w:jc w:val="center"/>
              <w:rPr>
                <w:rFonts w:hint="default" w:ascii="宋体" w:hAnsi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条件要求</w:t>
            </w:r>
          </w:p>
        </w:tc>
        <w:tc>
          <w:tcPr>
            <w:tcW w:w="2232" w:type="pct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符合条件情况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情况</w:t>
            </w: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一）坚持习近平新时代中国特色社会主义思想，树牢“四个意识”、坚定“四个自信”、坚决做到“两个维护”，拥护中国共产党领导，热爱祖国，遵守国家宪法和法律法规，认真贯彻党的教育方针，热爱职业教育事业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（二）具有良好的政治素质、职业道德和敬业精神，遵守学校规章制度和教学行为规范，身心健康，教风端正，为人师表，勇于创新。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（三）具备《教师法》规定的教师资格。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（四）任现职期间参加企业实践有关要求。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（五）取得讲师职称后，年度考核和师德考核均为称职（合格）以上。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（六）具备博士学位，取得讲师职称后，从事本专业技术工作满２年；或具备大学本科以上学历，取得讲师职称后，从事本专业技术工作满５年。</w:t>
            </w:r>
          </w:p>
        </w:tc>
        <w:tc>
          <w:tcPr>
            <w:tcW w:w="2232" w:type="pc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大学本科以上学历，取得讲师职称后，从事本专业技术工作满16年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（七）专业课教师具有相关职业（工种）高级及以上技能操作水平。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专业技术工作经历（能力）条件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（—）具备相应的专业知识、技能水平和教学教研能力，具备满足教学教研需要的外语和计算机水平，能够自觉运用教学新理念和新技术，不断提高一体化教学能力。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二）系统担任过２门以上课程的全部教学工作，并指导学生完成第二课堂、实验、实训、实习、社会调查、社会实践和毕业设计等，受到学生好评。完成学校规定的教学工作量，其中专任教师授课时数平均每学年不少于３２０学时，兼任教学工作的管理人员年均教学工作量（含听课、评课、实习指导）不少于专任教师的三分之二。</w:t>
            </w:r>
          </w:p>
        </w:tc>
        <w:tc>
          <w:tcPr>
            <w:tcW w:w="2232" w:type="pct"/>
            <w:vAlign w:val="center"/>
          </w:tcPr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2008.09-2009.06中一年级英语教学480学时；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2009.09-2010.06中二年级英语教学480学时；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2010.09-2011.06中一年级英语教学480学时；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2011.09-2012.06中二年级英语教学480学时；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2012.09-2013.06中一年级英语教学480学时；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2013.09-2014.06中二年级英语教学480学时；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2014.09-2015.06中三年级英语教学480学时；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2015.09-2016.06中一年级英语教学480学时；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2016.09-2017.06中二年级英语教学480学时；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2017.09-2018.06中三年级英语教学480学时；</w:t>
            </w: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2018.09-2019.06中一年级英语教学480学时；</w:t>
            </w:r>
          </w:p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2019.09-2020.06中二年级英语教学480学时；</w:t>
            </w:r>
          </w:p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2020.09-2021.06中三、初三英语教学448学时；</w:t>
            </w:r>
          </w:p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2021.09-2022.06中一、初三英语教学448学时；</w:t>
            </w:r>
          </w:p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2022.09-2023.06中二、初三英语教学448学时；</w:t>
            </w:r>
          </w:p>
          <w:p>
            <w:pPr>
              <w:rPr>
                <w:rFonts w:hint="default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2023.09-2024.06中三、初三英语教学480学时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三）能够对学生进行有效的思想道德教育和职业指导，引导学生健康成长，积极参与学生思想政治教育及学校的管理工作，担任班主任或兼任辅导员、教研组长、年级组长等工作３年以上且任教以来累计４年以上，胜任工作，并取得一定成绩。</w:t>
            </w:r>
          </w:p>
        </w:tc>
        <w:tc>
          <w:tcPr>
            <w:tcW w:w="2232" w:type="pct"/>
            <w:vAlign w:val="center"/>
          </w:tcPr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2008.09-2009.06中一丙班主任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2009.09-2010.06中二丙班主任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2010.09-2011.06中一丙班主任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2011.09-2012.06中二丙班主任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2012.09-2013.06中一丙班主任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2013.09-2014.06中二丙班主任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2014.09-2015.06中三丙班主任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2015.09-2016.06中一丙班主任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2016.09-2017.06中二丙班主任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2017.09-2018.06中三丙班主任</w:t>
            </w:r>
          </w:p>
          <w:p>
            <w:pPr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2018.09-2019.06中一丙班主任</w:t>
            </w:r>
          </w:p>
          <w:p>
            <w:pPr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2019.09-2020.06中二乙班主任</w:t>
            </w:r>
          </w:p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2020.09-2021.06中三乙班主任</w:t>
            </w:r>
          </w:p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2021.09-2022.06初三乙班主任</w:t>
            </w:r>
          </w:p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2022.09-2023.06初三甲班主任</w:t>
            </w:r>
          </w:p>
          <w:p>
            <w:pPr>
              <w:rPr>
                <w:rFonts w:hint="eastAsia"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2023.09-2024.06初三乙班主任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四）能够在教学团队中发挥骨干作用，能够指导培训青年教师开展教育教学研究，指导青年教师开展学生社团、第二课堂等活动，积极参与学校德育、专业建设、课程改革工作，在教育教学改革创新实践中取得比较突出的成绩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（五）熟悉企业对人才培养的要求，专业课教师能够与企业合作共同开发人才培养方案与相关课程，协助企业开展技术攻关与合作研发，能够参与企业课题研究，帮助企业解决技术难题，有在行业、企业生产服务一线工作２年以上的经历，或任现职以来到行业、企业生产服务一线实践累计６个月以上，并形成有一定价值的专业实践报告；文化课教师参加社会实践每年１期以上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六）主持或主要参加过市（厅）级以上科研（教改）项目，并取得一定成果，在本专业（学科）领域开展教学研究工作，发表较高水平的学术论文，或承担教材、教学参考书的编写工作，在本学校起到专业（学科）带头人的作用。</w:t>
            </w:r>
          </w:p>
        </w:tc>
        <w:tc>
          <w:tcPr>
            <w:tcW w:w="2232" w:type="pct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restart"/>
          </w:tcPr>
          <w:p>
            <w:pPr>
              <w:pStyle w:val="2"/>
              <w:spacing w:before="4"/>
              <w:ind w:left="60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2"/>
              <w:spacing w:before="4"/>
              <w:ind w:left="60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2"/>
              <w:spacing w:before="4"/>
              <w:ind w:left="60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2"/>
              <w:spacing w:before="4"/>
              <w:ind w:left="60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2"/>
              <w:spacing w:before="4"/>
              <w:ind w:left="60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2"/>
              <w:spacing w:before="4"/>
              <w:ind w:left="609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2"/>
              <w:spacing w:before="4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业绩成果条件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232" w:type="pct"/>
          </w:tcPr>
          <w:p>
            <w:pPr>
              <w:pStyle w:val="2"/>
              <w:spacing w:before="3" w:line="300" w:lineRule="auto"/>
              <w:ind w:right="114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积极参与学校教学管理、教学改革、教学研究等工作，业绩突出，教学效果好，有２学年以上教学质量考核为优秀，且主讲校级以上公开课、示范课２次以上或获得校级综合类教学比赛二等奖以上。</w:t>
            </w:r>
          </w:p>
        </w:tc>
        <w:tc>
          <w:tcPr>
            <w:tcW w:w="2232" w:type="pct"/>
          </w:tcPr>
          <w:p>
            <w:pPr>
              <w:pStyle w:val="2"/>
              <w:spacing w:before="3" w:line="300" w:lineRule="auto"/>
              <w:ind w:right="114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2023-2024学年教学质量考核优秀</w:t>
            </w:r>
          </w:p>
          <w:p>
            <w:pPr>
              <w:pStyle w:val="2"/>
              <w:spacing w:before="3" w:line="300" w:lineRule="auto"/>
              <w:ind w:right="114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2018-2019学年学院教学技能竞赛二等奖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在教育行政部门或其他政府部门举办的教学比赛、技能竞赛活动中，获全市性（设区市）一等奖或全省性三等奖以上奖励（以奖励证书为准，限额定人员）。</w:t>
            </w:r>
          </w:p>
        </w:tc>
        <w:tc>
          <w:tcPr>
            <w:tcW w:w="2232" w:type="pct"/>
          </w:tcPr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2024年河北省体育局主办的河北省体校文化教师技能展示中，荣获教学能力一等奖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独立或作为第一作者，在公开出版的学术期刊上发表本专业学术论文或教育教学研究论文３篇以上。</w:t>
            </w:r>
          </w:p>
        </w:tc>
        <w:tc>
          <w:tcPr>
            <w:tcW w:w="2232" w:type="pct"/>
            <w:vMerge w:val="restart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b w:val="0"/>
                <w:bCs w:val="0"/>
                <w:kern w:val="3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36"/>
                <w:sz w:val="21"/>
                <w:szCs w:val="21"/>
                <w:lang w:eastAsia="zh-CN"/>
              </w:rPr>
              <w:t>《</w:t>
            </w:r>
            <w:r>
              <w:rPr>
                <w:rFonts w:ascii="宋体" w:hAnsi="宋体" w:eastAsia="宋体" w:cs="宋体"/>
                <w:b w:val="0"/>
                <w:bCs w:val="0"/>
                <w:kern w:val="36"/>
                <w:sz w:val="21"/>
                <w:szCs w:val="21"/>
              </w:rPr>
              <w:t>二元对立视角下</w:t>
            </w:r>
            <w:r>
              <w:rPr>
                <w:rFonts w:hint="eastAsia" w:ascii="宋体" w:hAnsi="宋体" w:cs="宋体"/>
                <w:b w:val="0"/>
                <w:bCs w:val="0"/>
                <w:kern w:val="36"/>
                <w:sz w:val="21"/>
                <w:szCs w:val="21"/>
                <w:lang w:val="en-US" w:eastAsia="zh-CN"/>
              </w:rPr>
              <w:t>&lt;</w:t>
            </w:r>
            <w:r>
              <w:rPr>
                <w:rFonts w:ascii="宋体" w:hAnsi="宋体" w:eastAsia="宋体" w:cs="宋体"/>
                <w:b w:val="0"/>
                <w:bCs w:val="0"/>
                <w:kern w:val="36"/>
                <w:sz w:val="21"/>
                <w:szCs w:val="21"/>
              </w:rPr>
              <w:t>荆棘鸟</w:t>
            </w:r>
            <w:r>
              <w:rPr>
                <w:rFonts w:hint="eastAsia" w:ascii="宋体" w:hAnsi="宋体" w:cs="宋体"/>
                <w:b w:val="0"/>
                <w:bCs w:val="0"/>
                <w:kern w:val="36"/>
                <w:sz w:val="21"/>
                <w:szCs w:val="21"/>
                <w:lang w:val="en-US" w:eastAsia="zh-CN"/>
              </w:rPr>
              <w:t>&gt;</w:t>
            </w:r>
            <w:r>
              <w:rPr>
                <w:rFonts w:ascii="宋体" w:hAnsi="宋体" w:eastAsia="宋体" w:cs="宋体"/>
                <w:b w:val="0"/>
                <w:bCs w:val="0"/>
                <w:kern w:val="36"/>
                <w:sz w:val="21"/>
                <w:szCs w:val="21"/>
              </w:rPr>
              <w:t>吟唱的悲歌</w:t>
            </w:r>
            <w:r>
              <w:rPr>
                <w:rFonts w:hint="eastAsia" w:ascii="宋体" w:hAnsi="宋体" w:cs="宋体"/>
                <w:b w:val="0"/>
                <w:bCs w:val="0"/>
                <w:kern w:val="36"/>
                <w:sz w:val="21"/>
                <w:szCs w:val="21"/>
                <w:lang w:eastAsia="zh-CN"/>
              </w:rPr>
              <w:t>》《</w:t>
            </w:r>
            <w:r>
              <w:rPr>
                <w:rFonts w:hint="eastAsia" w:ascii="宋体" w:hAnsi="宋体" w:cs="宋体"/>
                <w:b w:val="0"/>
                <w:bCs w:val="0"/>
                <w:kern w:val="36"/>
                <w:sz w:val="21"/>
                <w:szCs w:val="21"/>
                <w:lang w:val="en-US" w:eastAsia="zh-CN"/>
              </w:rPr>
              <w:t>芒种</w:t>
            </w:r>
            <w:r>
              <w:rPr>
                <w:rFonts w:hint="eastAsia" w:ascii="宋体" w:hAnsi="宋体" w:cs="宋体"/>
                <w:b w:val="0"/>
                <w:bCs w:val="0"/>
                <w:kern w:val="36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cs="宋体"/>
                <w:b w:val="0"/>
                <w:bCs w:val="0"/>
                <w:kern w:val="36"/>
                <w:sz w:val="21"/>
                <w:szCs w:val="21"/>
                <w:lang w:val="en-US" w:eastAsia="zh-CN"/>
              </w:rPr>
              <w:t>核心2013.052-1；</w:t>
            </w:r>
          </w:p>
          <w:p>
            <w:pPr>
              <w:numPr>
                <w:ilvl w:val="0"/>
                <w:numId w:val="1"/>
              </w:numPr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&lt;</w:t>
            </w:r>
            <w:r>
              <w:rPr>
                <w:rFonts w:hint="eastAsia" w:ascii="宋体" w:hAnsi="宋体"/>
                <w:color w:val="000000"/>
                <w:szCs w:val="21"/>
              </w:rPr>
              <w:t>麦田里的守望者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&gt;</w:t>
            </w:r>
            <w:r>
              <w:rPr>
                <w:rFonts w:hint="eastAsia" w:ascii="宋体" w:hAnsi="宋体"/>
                <w:color w:val="000000"/>
                <w:szCs w:val="21"/>
              </w:rPr>
              <w:t>霍尔顿的焦虑与防御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》《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芒种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核心2014.122-2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b w:val="0"/>
                <w:bCs/>
                <w:sz w:val="21"/>
                <w:szCs w:val="21"/>
              </w:rPr>
              <w:t>如何调动学生学习英语的兴趣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》《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文学与艺术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2010.041-1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《</w:t>
            </w:r>
            <w:r>
              <w:rPr>
                <w:rFonts w:hint="eastAsia"/>
                <w:sz w:val="21"/>
                <w:szCs w:val="21"/>
              </w:rPr>
              <w:t>浅谈绕口令在英文诵读中的应用</w:t>
            </w:r>
            <w:r>
              <w:rPr>
                <w:rFonts w:hint="eastAsia"/>
                <w:sz w:val="21"/>
                <w:szCs w:val="21"/>
                <w:lang w:eastAsia="zh-CN"/>
              </w:rPr>
              <w:t>》《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学苑教育</w:t>
            </w:r>
            <w:r>
              <w:rPr>
                <w:rFonts w:hint="eastAsia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2017.111-1</w:t>
            </w:r>
            <w:r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《</w:t>
            </w:r>
            <w:r>
              <w:rPr>
                <w:rFonts w:hint="default" w:ascii="宋体" w:hAnsi="宋体"/>
                <w:color w:val="000000"/>
                <w:szCs w:val="21"/>
                <w:lang w:val="en-US" w:eastAsia="zh-CN"/>
              </w:rPr>
              <w:t>浅谈英语口语教学策略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》《学苑教育》2020.071-1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pct"/>
            <w:vMerge w:val="continue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232" w:type="pct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独立或作为第一作者，在公开出版的学术期刊上发表本专业学术论文或教育教学研究论文２篇以上，其中至少１篇发表在国内核心学术期刊或本学科领域公认的权威性学术刊物上。</w:t>
            </w:r>
          </w:p>
        </w:tc>
        <w:tc>
          <w:tcPr>
            <w:tcW w:w="2232" w:type="pct"/>
            <w:vMerge w:val="continue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p>
      <w:pPr>
        <w:rPr>
          <w:rFonts w:hint="eastAsia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MingLiU">
    <w:altName w:val="宋体-繁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9FBE0D"/>
    <w:multiLevelType w:val="singleLevel"/>
    <w:tmpl w:val="F59FBE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AFDEA11"/>
    <w:rsid w:val="57EE1D52"/>
    <w:rsid w:val="CEEF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8"/>
    </w:pPr>
    <w:rPr>
      <w:rFonts w:ascii="PMingLiU" w:hAnsi="PMingLiU" w:eastAsia="PMingLiU" w:cs="PMingLiU"/>
      <w:sz w:val="23"/>
      <w:szCs w:val="23"/>
      <w:lang w:val="en-US" w:eastAsia="zh-CN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14</TotalTime>
  <ScaleCrop>false</ScaleCrop>
  <LinksUpToDate>false</LinksUpToDate>
  <CharactersWithSpaces>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2024-08-05T20:17:00Z</dcterms:created>
  <dc:creator>stars</dc:creator>
  <cp:lastModifiedBy>stars</cp:lastModifiedBy>
  <dcterms:modified xsi:type="dcterms:W3CDTF">2024-08-05T13:25:14Z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7552E6E5F9A5E6FD6352B066B6319566_41</vt:lpwstr>
  </property>
</Properties>
</file>